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привлечению граждан к участию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проектах инициативного бюджетирования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Одним из наиболее эффективных инструментов вовлечения населения в решение вопросов местного значения и улучшения качества жизни с учетом мнения граждан стал механизм инициативного бюджетирования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привлечения граждан к </w:t>
      </w:r>
      <w:r>
        <w:rPr>
          <w:rFonts w:ascii="Times New Roman" w:hAnsi="Times New Roman" w:cs="Times New Roman"/>
          <w:sz w:val="28"/>
          <w:szCs w:val="28"/>
        </w:rPr>
        <w:t xml:space="preserve">участию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проектах инициативного бюджетирования,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получения качественных проектных п</w:t>
      </w:r>
      <w:r>
        <w:rPr>
          <w:rFonts w:ascii="Times New Roman" w:hAnsi="Times New Roman" w:cs="Times New Roman"/>
          <w:sz w:val="28"/>
          <w:szCs w:val="28"/>
        </w:rPr>
        <w:t xml:space="preserve">редложений и обеспечения их успешной реализации, структуры муниципальных образований Ханты-Мансийского автономного округа – Югры (далее также – автономный округ, Югра), ответственные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организацию развития практики инициативного бюджетирован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ведут работу по распространению информации о механизме инициативного бюджетирования и доведению ее до всех потенциальных участников</w:t>
      </w:r>
      <w:r>
        <w:rPr>
          <w:rFonts w:ascii="Times New Roman" w:hAnsi="Times New Roman" w:cs="Times New Roman"/>
          <w:sz w:val="28"/>
          <w:szCs w:val="28"/>
        </w:rPr>
        <w:t xml:space="preserve"> на протяжении всего цикла реализации практики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инициативного бюджетирован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о механизме инициативного бюджетированиия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муниципальном уровне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lef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беспечить поддержку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сотрудничество </w:t>
      </w: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 xml:space="preserve">органами власти </w:t>
      </w:r>
      <w:r>
        <w:rPr>
          <w:rFonts w:ascii="Times New Roman" w:hAnsi="Times New Roman" w:cs="Times New Roman"/>
          <w:sz w:val="28"/>
          <w:szCs w:val="28"/>
        </w:rPr>
        <w:t xml:space="preserve">городских округов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районов (в т.ч. сельских поселений); стимулировать инициативных граждан,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образования автономного округа за </w:t>
      </w:r>
      <w:r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в инициативном бюджетировании,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за вовлечение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в проекты инициативного бюджетирования.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red"/>
        </w:rPr>
      </w:r>
      <w:r>
        <w:rPr>
          <w:rFonts w:ascii="Times New Roman" w:hAnsi="Times New Roman" w:cs="Times New Roman"/>
          <w:sz w:val="28"/>
          <w:szCs w:val="28"/>
          <w:highlight w:val="red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Задачи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населения о </w:t>
      </w:r>
      <w:r>
        <w:rPr>
          <w:rFonts w:ascii="Times New Roman" w:hAnsi="Times New Roman" w:cs="Times New Roman"/>
          <w:sz w:val="28"/>
          <w:szCs w:val="28"/>
        </w:rPr>
        <w:t xml:space="preserve">практиках инициативного бюджетирования и </w:t>
      </w:r>
      <w:r>
        <w:rPr>
          <w:rFonts w:ascii="Times New Roman" w:hAnsi="Times New Roman" w:cs="Times New Roman"/>
          <w:sz w:val="28"/>
          <w:szCs w:val="28"/>
        </w:rPr>
        <w:t xml:space="preserve">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>
        <w:rPr>
          <w:rFonts w:ascii="Times New Roman" w:hAnsi="Times New Roman" w:cs="Times New Roman"/>
          <w:sz w:val="28"/>
          <w:szCs w:val="28"/>
        </w:rPr>
        <w:t xml:space="preserve">проектов в каждом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образовании автономного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азъяснение во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ожност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</w:t>
      </w:r>
      <w:r>
        <w:rPr>
          <w:rFonts w:ascii="Times New Roman" w:hAnsi="Times New Roman" w:cs="Times New Roman"/>
          <w:sz w:val="28"/>
          <w:szCs w:val="28"/>
        </w:rPr>
        <w:t xml:space="preserve">ей инициативного бюджетирования;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правомочности общественного обсуждения инициативных</w:t>
      </w:r>
      <w:r>
        <w:rPr>
          <w:rFonts w:ascii="Times New Roman" w:hAnsi="Times New Roman" w:cs="Times New Roman"/>
          <w:sz w:val="28"/>
          <w:szCs w:val="28"/>
        </w:rPr>
        <w:t xml:space="preserve"> проектов;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овлечение максимального количества гра</w:t>
      </w:r>
      <w:r>
        <w:rPr>
          <w:rFonts w:ascii="Times New Roman" w:hAnsi="Times New Roman" w:cs="Times New Roman"/>
          <w:sz w:val="28"/>
          <w:szCs w:val="28"/>
        </w:rPr>
        <w:t xml:space="preserve">ждан в процесс принятия решений по</w:t>
      </w:r>
      <w:r>
        <w:rPr>
          <w:rFonts w:ascii="Times New Roman" w:hAnsi="Times New Roman" w:cs="Times New Roman"/>
          <w:sz w:val="28"/>
          <w:szCs w:val="28"/>
        </w:rPr>
        <w:t xml:space="preserve"> вопросам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бор ин</w:t>
      </w:r>
      <w:r>
        <w:rPr>
          <w:rFonts w:ascii="Times New Roman" w:hAnsi="Times New Roman" w:cs="Times New Roman"/>
          <w:sz w:val="28"/>
          <w:szCs w:val="28"/>
        </w:rPr>
        <w:t xml:space="preserve">формации </w:t>
      </w:r>
      <w:r>
        <w:rPr>
          <w:rFonts w:ascii="Times New Roman" w:hAnsi="Times New Roman" w:cs="Times New Roman"/>
          <w:sz w:val="28"/>
          <w:szCs w:val="28"/>
        </w:rPr>
        <w:t xml:space="preserve">о проблемных вопросах </w:t>
      </w:r>
      <w:r>
        <w:rPr>
          <w:rFonts w:ascii="Times New Roman" w:hAnsi="Times New Roman" w:cs="Times New Roman"/>
          <w:sz w:val="28"/>
          <w:szCs w:val="28"/>
        </w:rPr>
        <w:t xml:space="preserve">от жителей;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пределение инициативных жи</w:t>
      </w:r>
      <w:r>
        <w:rPr>
          <w:rFonts w:ascii="Times New Roman" w:hAnsi="Times New Roman" w:cs="Times New Roman"/>
          <w:sz w:val="28"/>
          <w:szCs w:val="28"/>
        </w:rPr>
        <w:t xml:space="preserve">телей для участия в обсуждениях;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5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азъяснение</w:t>
      </w:r>
      <w:r>
        <w:rPr>
          <w:rFonts w:ascii="Times New Roman" w:hAnsi="Times New Roman" w:cs="Times New Roman"/>
          <w:sz w:val="28"/>
          <w:szCs w:val="28"/>
        </w:rPr>
        <w:t xml:space="preserve"> условий участия в проектах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информирования: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</w:t>
      </w:r>
      <w:r>
        <w:rPr>
          <w:rFonts w:ascii="Times New Roman" w:hAnsi="Times New Roman" w:cs="Times New Roman"/>
          <w:sz w:val="28"/>
          <w:szCs w:val="28"/>
        </w:rPr>
        <w:t xml:space="preserve">формационные обучающие семинары.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Размещение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других информационных каналах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Размещение информации в социальных сетях.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Мероприятия по общественному обсуждению инициативных проектов (сходы, собрания, конференции и опросы граждан)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ьзование информационных стендов.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Привлечение депутатов для оказания содействия в реализации практики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Привлечение добровольцев (волонтеров) для оказания содействия в реализации практики 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Публикации в местных</w:t>
      </w:r>
      <w:r>
        <w:rPr>
          <w:rFonts w:ascii="Times New Roman" w:hAnsi="Times New Roman" w:cs="Times New Roman"/>
          <w:sz w:val="28"/>
          <w:szCs w:val="28"/>
        </w:rPr>
        <w:t xml:space="preserve"> печатных СМИ (газеты, журналы).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Рассылка информационных материалов по электронной почте активным жителям, лидерам общественного мнения, руководит</w:t>
      </w:r>
      <w:r>
        <w:rPr>
          <w:rFonts w:ascii="Times New Roman" w:hAnsi="Times New Roman" w:cs="Times New Roman"/>
          <w:sz w:val="28"/>
          <w:szCs w:val="28"/>
        </w:rPr>
        <w:t xml:space="preserve">елям </w:t>
      </w:r>
      <w:r>
        <w:rPr>
          <w:rFonts w:ascii="Times New Roman" w:hAnsi="Times New Roman" w:cs="Times New Roman"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sz w:val="28"/>
          <w:szCs w:val="28"/>
        </w:rPr>
        <w:t xml:space="preserve"> и других организаций.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Размещение информации в мессенджерах.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49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Информационные обучающие семинары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Ежегодная реализация практики инициативного бюджетирования должна начинаться с вводных однодневных информационных и обучающих семинаров, которые проводятся во всех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образованиях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Вводные семинары проводят и организуют ресурсные центры или консультанты инициативного бюджетирования муниципального образования в сотрудничестве с районными или городскими органами власти. </w:t>
      </w:r>
      <w:r>
        <w:rPr>
          <w:rFonts w:ascii="Times New Roman" w:hAnsi="Times New Roman" w:cs="Times New Roman"/>
          <w:sz w:val="28"/>
          <w:szCs w:val="28"/>
        </w:rPr>
        <w:t xml:space="preserve">Отдельный информационный семинар проводится с представителями органов представительной власти соответствующего муниципального образования.</w:t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 семинаров.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семинарах приглашаются представители: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органов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ответственного департамента/ведомства;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общественных организаций, работающих в сфере социального и экономического развития, охраны окружающей среды;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sz w:val="28"/>
          <w:szCs w:val="28"/>
        </w:rPr>
        <w:t xml:space="preserve">, ТСЖ, ассоциаций граждан и других общественных организаций, действующих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епутат</w:t>
      </w:r>
      <w:r>
        <w:rPr>
          <w:rFonts w:ascii="Times New Roman" w:hAnsi="Times New Roman" w:cs="Times New Roman"/>
          <w:sz w:val="28"/>
          <w:szCs w:val="28"/>
        </w:rPr>
        <w:t xml:space="preserve">ского корпуса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0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средств массовой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Другие заинтересованные стороны также м</w:t>
      </w:r>
      <w:r>
        <w:rPr>
          <w:rFonts w:ascii="Times New Roman" w:hAnsi="Times New Roman" w:cs="Times New Roman"/>
          <w:sz w:val="28"/>
          <w:szCs w:val="28"/>
        </w:rPr>
        <w:t xml:space="preserve">огут принять участие в семинаре.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Подготовка к проведению семинара.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подготовки семинара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лицо</w:t>
      </w:r>
      <w:r>
        <w:rPr>
          <w:rFonts w:ascii="Times New Roman" w:hAnsi="Times New Roman" w:cs="Times New Roman"/>
          <w:sz w:val="28"/>
          <w:szCs w:val="28"/>
        </w:rPr>
        <w:t xml:space="preserve"> выполняет следующие этапы работ: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1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размещает</w:t>
      </w:r>
      <w:r>
        <w:rPr>
          <w:rFonts w:ascii="Times New Roman" w:hAnsi="Times New Roman" w:cs="Times New Roman"/>
          <w:sz w:val="28"/>
          <w:szCs w:val="28"/>
        </w:rPr>
        <w:t xml:space="preserve"> объявление о семинаре в средствах </w:t>
      </w:r>
      <w:r>
        <w:rPr>
          <w:rFonts w:ascii="Times New Roman" w:hAnsi="Times New Roman" w:cs="Times New Roman"/>
          <w:sz w:val="28"/>
          <w:szCs w:val="28"/>
        </w:rPr>
        <w:t xml:space="preserve">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, социальных сетях и других источниках информирования;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1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готовит список приглашенных участников и рассылает приглашения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1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готовит необходимый раздаточный материал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1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решает необходимые организационные вопросы: помещение, оборудование, по мере необходимости транспорт и т.д.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ind w:left="156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семинаров.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 состоит из двух сессий. Целью первой общей сессии является предоставление участникам подробной информации о целях и задачах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, о деятельности, которая может быть выполне</w:t>
      </w:r>
      <w:r>
        <w:rPr>
          <w:rFonts w:ascii="Times New Roman" w:hAnsi="Times New Roman" w:cs="Times New Roman"/>
          <w:sz w:val="28"/>
          <w:szCs w:val="28"/>
        </w:rPr>
        <w:t xml:space="preserve">на в рамках практики (типология проектов</w:t>
      </w:r>
      <w:r>
        <w:rPr>
          <w:rFonts w:ascii="Times New Roman" w:hAnsi="Times New Roman" w:cs="Times New Roman"/>
          <w:sz w:val="28"/>
          <w:szCs w:val="28"/>
        </w:rPr>
        <w:t xml:space="preserve">), о механизмах и процедурах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, об участии населения и т.д. Содержание первой сессии зависит от того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какой степени </w:t>
      </w:r>
      <w:r>
        <w:rPr>
          <w:rFonts w:ascii="Times New Roman" w:hAnsi="Times New Roman" w:cs="Times New Roman"/>
          <w:sz w:val="28"/>
          <w:szCs w:val="28"/>
        </w:rPr>
        <w:t xml:space="preserve">участники семинара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информированы о </w:t>
      </w:r>
      <w:r>
        <w:rPr>
          <w:rFonts w:ascii="Times New Roman" w:hAnsi="Times New Roman" w:cs="Times New Roman"/>
          <w:sz w:val="28"/>
          <w:szCs w:val="28"/>
        </w:rPr>
        <w:t xml:space="preserve">механизме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сессии участвуют представители мун</w:t>
      </w:r>
      <w:r>
        <w:rPr>
          <w:rFonts w:ascii="Times New Roman" w:hAnsi="Times New Roman" w:cs="Times New Roman"/>
          <w:sz w:val="28"/>
          <w:szCs w:val="28"/>
        </w:rPr>
        <w:t xml:space="preserve">иципальных образований,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и групп населения, которые предполагают и имеют право подавать заявки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практике</w:t>
      </w:r>
      <w:r>
        <w:rPr>
          <w:rFonts w:ascii="Times New Roman" w:hAnsi="Times New Roman" w:cs="Times New Roman"/>
          <w:sz w:val="28"/>
          <w:szCs w:val="28"/>
        </w:rPr>
        <w:t xml:space="preserve">. На этой сессии участники проходят обучение, посвященное более детальному изучению процедур и подходов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частники получают подробную информацию о процедуре подгот</w:t>
      </w:r>
      <w:r>
        <w:rPr>
          <w:rFonts w:ascii="Times New Roman" w:hAnsi="Times New Roman" w:cs="Times New Roman"/>
          <w:sz w:val="28"/>
          <w:szCs w:val="28"/>
        </w:rPr>
        <w:t xml:space="preserve">овки и подачи конкурсной заявки, например, </w:t>
      </w:r>
      <w:r>
        <w:rPr>
          <w:rFonts w:ascii="Times New Roman" w:hAnsi="Times New Roman" w:cs="Times New Roman"/>
          <w:sz w:val="28"/>
          <w:szCs w:val="28"/>
        </w:rPr>
        <w:t xml:space="preserve">о предварительных мероприятиях с участием населения,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>
        <w:rPr>
          <w:rFonts w:ascii="Times New Roman" w:hAnsi="Times New Roman" w:cs="Times New Roman"/>
          <w:sz w:val="28"/>
          <w:szCs w:val="28"/>
        </w:rPr>
        <w:t xml:space="preserve">подготовке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сходов и собраний населения.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Ответственное лицо</w:t>
      </w:r>
      <w:r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 подробный отчет о проведенных семинарах.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. Р</w:t>
      </w:r>
      <w:r>
        <w:rPr>
          <w:rFonts w:ascii="Times New Roman" w:hAnsi="Times New Roman" w:cs="Times New Roman"/>
          <w:b/>
          <w:sz w:val="28"/>
          <w:szCs w:val="28"/>
        </w:rPr>
        <w:t xml:space="preserve">азмещение информации на официальном сайте органов местного самоуправления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других информационных каналах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Необходимым условием для успешности и эффективности практики инициативного бюджетирования является ш</w:t>
      </w:r>
      <w:r>
        <w:rPr>
          <w:rFonts w:ascii="Times New Roman" w:hAnsi="Times New Roman" w:cs="Times New Roman"/>
          <w:sz w:val="28"/>
          <w:szCs w:val="28"/>
        </w:rPr>
        <w:t xml:space="preserve">ирокое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ней </w:t>
      </w:r>
      <w:r>
        <w:rPr>
          <w:rFonts w:ascii="Times New Roman" w:hAnsi="Times New Roman" w:cs="Times New Roman"/>
          <w:sz w:val="28"/>
          <w:szCs w:val="28"/>
        </w:rPr>
        <w:t xml:space="preserve">на всех этапах реализаци</w:t>
      </w:r>
      <w:r>
        <w:rPr>
          <w:rFonts w:ascii="Times New Roman" w:hAnsi="Times New Roman" w:cs="Times New Roman"/>
          <w:sz w:val="28"/>
          <w:szCs w:val="28"/>
        </w:rPr>
        <w:t xml:space="preserve">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 выдвинутых инициативных проектах. Информация о практике инициативного бюджетирования </w:t>
      </w:r>
      <w:r>
        <w:rPr>
          <w:rFonts w:ascii="Times New Roman" w:hAnsi="Times New Roman" w:cs="Times New Roman"/>
          <w:sz w:val="28"/>
          <w:szCs w:val="28"/>
        </w:rPr>
        <w:t xml:space="preserve">должна</w:t>
      </w:r>
      <w:r>
        <w:rPr>
          <w:rFonts w:ascii="Times New Roman" w:hAnsi="Times New Roman" w:cs="Times New Roman"/>
          <w:sz w:val="28"/>
          <w:szCs w:val="28"/>
        </w:rPr>
        <w:t xml:space="preserve"> публиковаться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акже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канал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: СМИ, социальны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и мессенджер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рекламны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носител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 т.д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сновная цель распространения информации – стимулирование процессов выдвижения инициативных проектов.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Федераль</w:t>
      </w:r>
      <w:r>
        <w:rPr>
          <w:rFonts w:ascii="Times New Roman" w:hAnsi="Times New Roman" w:cs="Times New Roman"/>
          <w:sz w:val="28"/>
          <w:szCs w:val="28"/>
        </w:rPr>
        <w:t xml:space="preserve">ному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(далее – Федеральный закон № 131-ФЗ) (часть 5 статьи 26.1)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внесении инициативного проекта в местную администрацию подлежит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обязательному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опубликованию (обнародованию) и размещению на официальном сай</w:t>
      </w:r>
      <w:r>
        <w:rPr>
          <w:rFonts w:ascii="Times New Roman" w:hAnsi="Times New Roman" w:cs="Times New Roman"/>
          <w:sz w:val="28"/>
          <w:szCs w:val="28"/>
        </w:rPr>
        <w:t xml:space="preserve">те муниципального образования в течение трех рабочих дней со дня внесения инициативного проекта в местную администрацию. Одновременно граждане информируются о возможности представления в администрацию своих замечаний и предложений по инициативному проекту </w:t>
      </w:r>
      <w:r>
        <w:rPr>
          <w:rFonts w:ascii="Times New Roman" w:hAnsi="Times New Roman" w:cs="Times New Roman"/>
          <w:sz w:val="28"/>
          <w:szCs w:val="28"/>
        </w:rPr>
        <w:t xml:space="preserve">в течение не </w:t>
      </w:r>
      <w:r>
        <w:rPr>
          <w:rFonts w:ascii="Times New Roman" w:hAnsi="Times New Roman" w:cs="Times New Roman"/>
          <w:sz w:val="28"/>
          <w:szCs w:val="28"/>
        </w:rPr>
        <w:t xml:space="preserve">менее пяти рабочих дней. 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сли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нет</w:t>
      </w:r>
      <w:r>
        <w:rPr>
          <w:rFonts w:ascii="Times New Roman" w:hAnsi="Times New Roman" w:cs="Times New Roman"/>
          <w:sz w:val="28"/>
          <w:szCs w:val="28"/>
        </w:rPr>
        <w:t xml:space="preserve"> возможности размещать </w:t>
      </w:r>
      <w:r>
        <w:rPr>
          <w:rFonts w:ascii="Times New Roman" w:hAnsi="Times New Roman" w:cs="Times New Roman"/>
          <w:sz w:val="28"/>
          <w:szCs w:val="28"/>
        </w:rPr>
        <w:t xml:space="preserve">эту</w:t>
      </w:r>
      <w:r>
        <w:rPr>
          <w:rFonts w:ascii="Times New Roman" w:hAnsi="Times New Roman" w:cs="Times New Roman"/>
          <w:sz w:val="28"/>
          <w:szCs w:val="28"/>
        </w:rPr>
        <w:t xml:space="preserve"> информацию на своем сайте, </w:t>
      </w:r>
      <w:r>
        <w:rPr>
          <w:rFonts w:ascii="Times New Roman" w:hAnsi="Times New Roman" w:cs="Times New Roman"/>
          <w:sz w:val="28"/>
          <w:szCs w:val="28"/>
        </w:rPr>
        <w:t xml:space="preserve">она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на сайте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сельск</w:t>
      </w:r>
      <w:r>
        <w:rPr>
          <w:rFonts w:ascii="Times New Roman" w:hAnsi="Times New Roman" w:cs="Times New Roman"/>
          <w:sz w:val="28"/>
          <w:szCs w:val="28"/>
        </w:rPr>
        <w:t xml:space="preserve">их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 информация может доводиться до граждан старостой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практике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бюджетирования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активно распространять и на всех последующих этапах ее реализации. </w:t>
      </w: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 xml:space="preserve">если внесенные в администрацию инициативные проекты дорабатываются или изменяются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проведения конкурсного отбора</w:t>
      </w:r>
      <w:r>
        <w:rPr>
          <w:rFonts w:ascii="Times New Roman" w:hAnsi="Times New Roman" w:cs="Times New Roman"/>
          <w:sz w:val="28"/>
          <w:szCs w:val="28"/>
        </w:rPr>
        <w:t xml:space="preserve">, соответствующую информацию также целесообразно доводить до населения по тем же каналам ее распро</w:t>
      </w:r>
      <w:r>
        <w:rPr>
          <w:rFonts w:ascii="Times New Roman" w:hAnsi="Times New Roman" w:cs="Times New Roman"/>
          <w:sz w:val="28"/>
          <w:szCs w:val="28"/>
        </w:rPr>
        <w:t xml:space="preserve">странения.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</w:rPr>
        <w:t xml:space="preserve">. Размещение информации в социальных сетях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ind w:left="106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Информацию, котор</w:t>
      </w:r>
      <w:r>
        <w:rPr>
          <w:rFonts w:ascii="Times New Roman" w:hAnsi="Times New Roman" w:cs="Times New Roman"/>
          <w:sz w:val="28"/>
          <w:szCs w:val="28"/>
        </w:rPr>
        <w:t xml:space="preserve">ая публикуется на официальном сайте органов местного самоуправления, необходимо дублировать на страницах социальных сетей, но только на более доступном и понятном языке для граждан.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информирования жителей об инициативном бюджетировании через социальные сети следуйте этим шагам: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9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Определение целевой аудитории: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 социально-демографические характеристики жителей, которых необходимо охватить информацией об инициативном бюджетировании (возраст, место проживания, социальный статус и т.д.).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наиболее популярные социальные сети, используемые целевой аудиторией.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контент-плана: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ключевые темы и сообщения, которые необходимо донести до жителей (описание инициативного бюджетирования, порядок участия, сроки, примеры реализованных проектов и т.д.).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календарный план публикаций с учетом важных дат и событий, связанных с инициативным бюджетированием.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разнообразный контент (текстовые публикации, </w:t>
      </w:r>
      <w:r>
        <w:rPr>
          <w:rFonts w:ascii="Times New Roman" w:hAnsi="Times New Roman" w:cs="Times New Roman"/>
          <w:sz w:val="28"/>
          <w:szCs w:val="28"/>
        </w:rPr>
        <w:t xml:space="preserve">инфографика</w:t>
      </w:r>
      <w:r>
        <w:rPr>
          <w:rFonts w:ascii="Times New Roman" w:hAnsi="Times New Roman" w:cs="Times New Roman"/>
          <w:sz w:val="28"/>
          <w:szCs w:val="28"/>
        </w:rPr>
        <w:t xml:space="preserve">, видеоролики, опросы и т.д.) для привлечения внимания и вовлечения аудитории.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и настройка социальных сетей: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наиболее подходящие социальные сети для размещения информации (например, </w:t>
      </w:r>
      <w:r>
        <w:rPr>
          <w:rFonts w:ascii="Times New Roman" w:hAnsi="Times New Roman" w:cs="Times New Roman"/>
          <w:sz w:val="28"/>
          <w:szCs w:val="28"/>
        </w:rPr>
        <w:t xml:space="preserve">ВКонтакте</w:t>
      </w:r>
      <w:r>
        <w:rPr>
          <w:rFonts w:ascii="Times New Roman" w:hAnsi="Times New Roman" w:cs="Times New Roman"/>
          <w:sz w:val="28"/>
          <w:szCs w:val="28"/>
        </w:rPr>
        <w:t xml:space="preserve">, Одноклассники и др.).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или использовать существующие официальные аккаунты органов власти, профильных ведомств или сообществ, связанных </w:t>
        <w:br/>
        <w:t xml:space="preserve">с инициативным бюджетированием.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контент-плана: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Публиковать информационные материалы согласно разработанному календарному плану.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рганиз</w:t>
      </w:r>
      <w:r>
        <w:rPr>
          <w:rFonts w:ascii="Times New Roman" w:hAnsi="Times New Roman" w:cs="Times New Roman"/>
          <w:sz w:val="28"/>
          <w:szCs w:val="28"/>
        </w:rPr>
        <w:t xml:space="preserve">овать </w:t>
      </w:r>
      <w:r>
        <w:rPr>
          <w:rFonts w:ascii="Times New Roman" w:hAnsi="Times New Roman" w:cs="Times New Roman"/>
          <w:sz w:val="28"/>
          <w:szCs w:val="28"/>
        </w:rPr>
        <w:t xml:space="preserve">опросы и голосования среди подписчиков, чтобы узнать их мнение о проекте и определить приоритеты финансирования.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твеча</w:t>
      </w:r>
      <w:r>
        <w:rPr>
          <w:rFonts w:ascii="Times New Roman" w:hAnsi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cs="Times New Roman"/>
          <w:sz w:val="28"/>
          <w:szCs w:val="28"/>
        </w:rPr>
        <w:t xml:space="preserve"> на комментарии и вопросы подписчиков.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Сотруднича</w:t>
      </w:r>
      <w:r>
        <w:rPr>
          <w:rFonts w:ascii="Times New Roman" w:hAnsi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блогерами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инфлюенсерами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которые имеют аудиторию, соответствующую вашей целевой аудитории, для сотрудничества и распространения информации о проекте.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Отслеживать эффективность публикаций и при необходимости корректировать контент-план.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Использовать в своих публикациях придуманный уникальный </w:t>
      </w:r>
      <w:r>
        <w:rPr>
          <w:rFonts w:ascii="Times New Roman" w:hAnsi="Times New Roman" w:cs="Times New Roman"/>
          <w:sz w:val="28"/>
          <w:szCs w:val="28"/>
        </w:rPr>
        <w:t xml:space="preserve">хештег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для каждой своей практики инициативного бюджетирования, а также 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для каждой публикации </w:t>
      </w:r>
      <w:r>
        <w:rPr>
          <w:rFonts w:ascii="Times New Roman" w:hAnsi="Times New Roman" w:cs="Times New Roman"/>
          <w:sz w:val="28"/>
          <w:szCs w:val="28"/>
        </w:rPr>
        <w:t xml:space="preserve">хештег #</w:t>
      </w:r>
      <w:r>
        <w:rPr>
          <w:rFonts w:ascii="Times New Roman" w:hAnsi="Times New Roman" w:cs="Times New Roman"/>
          <w:sz w:val="28"/>
          <w:szCs w:val="28"/>
        </w:rPr>
        <w:t xml:space="preserve">инициативноебюджетирование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9"/>
        <w:numPr>
          <w:ilvl w:val="0"/>
          <w:numId w:val="32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и анализ результатов: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Регулярно анализировать показатели охвата, вовлеченности, обратной связи и другие метрики эффективности.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наиболее успешные форматы и темы публикаций для дальнейшего использования.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подход позволит системно и комплексно информировать жителей об инициативном бюджетировании через социальные сети, вовлекая целевую аудиторию и повышая их участие в данном процессе.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IV.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 общественному обсуждению инициативных проектов (с</w:t>
      </w:r>
      <w:r>
        <w:rPr>
          <w:rFonts w:ascii="Times New Roman" w:hAnsi="Times New Roman" w:cs="Times New Roman"/>
          <w:b/>
          <w:sz w:val="28"/>
          <w:szCs w:val="28"/>
        </w:rPr>
        <w:t xml:space="preserve">ходы,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конференции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вносимые инициативные проекты действительно отражали интересы жителей, они должны рассматриваться на сходах, собраниях и конференциях </w:t>
      </w:r>
      <w:r>
        <w:rPr>
          <w:rFonts w:ascii="Times New Roman" w:hAnsi="Times New Roman" w:cs="Times New Roman"/>
          <w:sz w:val="28"/>
          <w:szCs w:val="28"/>
        </w:rPr>
        <w:t xml:space="preserve">граждан, в том числе на собраниях/к</w:t>
      </w:r>
      <w:r>
        <w:rPr>
          <w:rFonts w:ascii="Times New Roman" w:hAnsi="Times New Roman" w:cs="Times New Roman"/>
          <w:sz w:val="28"/>
          <w:szCs w:val="28"/>
        </w:rPr>
        <w:t xml:space="preserve">онференци</w:t>
      </w:r>
      <w:r>
        <w:rPr>
          <w:rFonts w:ascii="Times New Roman" w:hAnsi="Times New Roman" w:cs="Times New Roman"/>
          <w:sz w:val="28"/>
          <w:szCs w:val="28"/>
        </w:rPr>
        <w:t xml:space="preserve">ях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осуществления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(ТОС) </w:t>
      </w:r>
      <w:r>
        <w:rPr>
          <w:rFonts w:ascii="Times New Roman" w:hAnsi="Times New Roman" w:cs="Times New Roman"/>
          <w:sz w:val="28"/>
          <w:szCs w:val="28"/>
        </w:rPr>
        <w:t xml:space="preserve">(часть 4 статьи 26.1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Федерального закона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131-ФЗ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таких собраниях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целесообразность </w:t>
      </w:r>
      <w:r>
        <w:rPr>
          <w:rFonts w:ascii="Times New Roman" w:hAnsi="Times New Roman" w:cs="Times New Roman"/>
          <w:sz w:val="28"/>
          <w:szCs w:val="28"/>
        </w:rPr>
        <w:t xml:space="preserve">реализации инициативных </w:t>
      </w:r>
      <w:r>
        <w:rPr>
          <w:rFonts w:ascii="Times New Roman" w:hAnsi="Times New Roman" w:cs="Times New Roman"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интереса</w:t>
      </w:r>
      <w:r>
        <w:rPr>
          <w:rFonts w:ascii="Times New Roman" w:hAnsi="Times New Roman" w:cs="Times New Roman"/>
          <w:sz w:val="28"/>
          <w:szCs w:val="28"/>
        </w:rPr>
        <w:t xml:space="preserve">м жителей и важность продвижения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озможно рассмотрение нескольких 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одном сходе, собрании или конференции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общественному обсуждению и поддержке инициативных проектов организуются и проводятся инициаторами проектов </w:t>
      </w:r>
      <w:r>
        <w:rPr>
          <w:rFonts w:ascii="Times New Roman" w:hAnsi="Times New Roman" w:cs="Times New Roman"/>
          <w:sz w:val="28"/>
          <w:szCs w:val="28"/>
        </w:rPr>
        <w:t xml:space="preserve">совместно</w:t>
      </w:r>
      <w:r>
        <w:rPr>
          <w:rFonts w:ascii="Times New Roman" w:hAnsi="Times New Roman" w:cs="Times New Roman"/>
          <w:sz w:val="28"/>
          <w:szCs w:val="28"/>
        </w:rPr>
        <w:t xml:space="preserve"> с администрацией муниципального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Наиболее распространен</w:t>
      </w:r>
      <w:r>
        <w:rPr>
          <w:rFonts w:ascii="Times New Roman" w:hAnsi="Times New Roman" w:cs="Times New Roman"/>
          <w:sz w:val="28"/>
          <w:szCs w:val="28"/>
        </w:rPr>
        <w:t xml:space="preserve">ной формой </w:t>
      </w:r>
      <w:r>
        <w:rPr>
          <w:rFonts w:ascii="Times New Roman" w:hAnsi="Times New Roman" w:cs="Times New Roman"/>
          <w:sz w:val="28"/>
          <w:szCs w:val="28"/>
        </w:rPr>
        <w:t xml:space="preserve">является собрание граждан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обсуждени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ТОС</w:t>
      </w:r>
      <w:r>
        <w:rPr>
          <w:rFonts w:ascii="Times New Roman" w:hAnsi="Times New Roman" w:cs="Times New Roman"/>
          <w:sz w:val="28"/>
          <w:szCs w:val="28"/>
        </w:rPr>
        <w:t xml:space="preserve"> на части территории муниципального образования. Порядок назначения и проведения собрания граждан, а также полномочия собрания граждан определяются статье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131-ФЗ, уставом муниципального образования и (или) нормативно-правовым актом представительного органа муниципального образования, уставом территориального общественного самоуправления.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Инициаторы могут </w:t>
      </w:r>
      <w:r>
        <w:rPr>
          <w:rFonts w:ascii="Times New Roman" w:hAnsi="Times New Roman" w:cs="Times New Roman"/>
          <w:sz w:val="28"/>
          <w:szCs w:val="28"/>
        </w:rPr>
        <w:t xml:space="preserve">проводить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несколько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(собрания, опросы) </w:t>
      </w:r>
      <w:r>
        <w:rPr>
          <w:rFonts w:ascii="Times New Roman" w:hAnsi="Times New Roman" w:cs="Times New Roman"/>
          <w:sz w:val="28"/>
          <w:szCs w:val="28"/>
        </w:rPr>
        <w:t xml:space="preserve">по общественному обсуждению проектов</w:t>
      </w:r>
      <w:r>
        <w:rPr>
          <w:rFonts w:ascii="Times New Roman" w:hAnsi="Times New Roman" w:cs="Times New Roman"/>
          <w:sz w:val="28"/>
          <w:szCs w:val="28"/>
        </w:rPr>
        <w:t xml:space="preserve">, особенно для проектов, </w:t>
      </w:r>
      <w:r>
        <w:rPr>
          <w:rFonts w:ascii="Times New Roman" w:hAnsi="Times New Roman" w:cs="Times New Roman"/>
          <w:sz w:val="28"/>
          <w:szCs w:val="28"/>
        </w:rPr>
        <w:t xml:space="preserve">затрагива</w:t>
      </w:r>
      <w:r>
        <w:rPr>
          <w:rFonts w:ascii="Times New Roman" w:hAnsi="Times New Roman" w:cs="Times New Roman"/>
          <w:sz w:val="28"/>
          <w:szCs w:val="28"/>
        </w:rPr>
        <w:t xml:space="preserve">ющих </w:t>
      </w:r>
      <w:r>
        <w:rPr>
          <w:rFonts w:ascii="Times New Roman" w:hAnsi="Times New Roman" w:cs="Times New Roman"/>
          <w:sz w:val="28"/>
          <w:szCs w:val="28"/>
        </w:rPr>
        <w:t xml:space="preserve">интересы групп с </w:t>
      </w:r>
      <w:r>
        <w:rPr>
          <w:rFonts w:ascii="Times New Roman" w:hAnsi="Times New Roman" w:cs="Times New Roman"/>
          <w:sz w:val="28"/>
          <w:szCs w:val="28"/>
        </w:rPr>
        <w:t xml:space="preserve">особыми</w:t>
      </w:r>
      <w:r>
        <w:rPr>
          <w:rFonts w:ascii="Times New Roman" w:hAnsi="Times New Roman" w:cs="Times New Roman"/>
          <w:sz w:val="28"/>
          <w:szCs w:val="28"/>
        </w:rPr>
        <w:t xml:space="preserve"> потребностями, которые по объективным причинам не могут участвовать в собраниях.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мероприятиях должн</w:t>
      </w:r>
      <w:r>
        <w:rPr>
          <w:rFonts w:ascii="Times New Roman" w:hAnsi="Times New Roman" w:cs="Times New Roman"/>
          <w:sz w:val="28"/>
          <w:szCs w:val="28"/>
        </w:rPr>
        <w:t xml:space="preserve">а быть доведена до всех граждан через различные каналы (с</w:t>
      </w:r>
      <w:r>
        <w:rPr>
          <w:rFonts w:ascii="Times New Roman" w:hAnsi="Times New Roman" w:cs="Times New Roman"/>
          <w:sz w:val="28"/>
          <w:szCs w:val="28"/>
        </w:rPr>
        <w:t xml:space="preserve">айты, социальные сети, прямые контакты с гражданами, стенды с объявлениями и т.д.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должны проводиться открыто с привлечением широкой общественности. Вся информация о проведени</w:t>
      </w:r>
      <w:r>
        <w:rPr>
          <w:rFonts w:ascii="Times New Roman" w:hAnsi="Times New Roman" w:cs="Times New Roman"/>
          <w:sz w:val="28"/>
          <w:szCs w:val="28"/>
        </w:rPr>
        <w:t xml:space="preserve">и мероприятий, включая данные об информировании заинтересованных групп населения, документируется. Как правило, в нормативных правовых актах муниципальных образований разрабатываются стандартные формы для инициативных проектов и пакет прилагаемых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. Структура и содержание указанных документов зависят от особенностей муниципального образования и деталей порядка реализации практики инициативного бюджетирования (типология проектов, максимальная сумма денежных средств из бюджета на один проект и т.д.).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внесении инициативного проекта в администрацию муниципального образования к нему должны прилагаться документы, подтверждаю</w:t>
      </w:r>
      <w:r>
        <w:rPr>
          <w:rFonts w:ascii="Times New Roman" w:hAnsi="Times New Roman" w:cs="Times New Roman"/>
          <w:sz w:val="28"/>
          <w:szCs w:val="28"/>
        </w:rPr>
        <w:t xml:space="preserve">щие поддержку инициативного проекта жителями муниципального образования или той его части, на решение проблем которой направлен инициативный проект: протокол схода, собрания или конференции граждан, результаты опроса граждан и (или) подписные листы и т.д.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</w:rPr>
        <w:t xml:space="preserve">Испол</w:t>
      </w:r>
      <w:r>
        <w:rPr>
          <w:rFonts w:ascii="Times New Roman" w:hAnsi="Times New Roman" w:cs="Times New Roman"/>
          <w:b/>
          <w:sz w:val="28"/>
          <w:szCs w:val="28"/>
        </w:rPr>
        <w:t xml:space="preserve">ьзование информационных стендов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активного участия жителей в обсуждении инициативных проектов важно обеспечить им постоянный доступ к информации о реализации данных проектов. Это можно организовать с помощью информационных стендов, размещенных в часто посещаемых местах.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информационных стендах необходимо размещать следующую информацию: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мероприятиях по общественному обсуждению и </w:t>
      </w:r>
      <w:r>
        <w:rPr>
          <w:rFonts w:ascii="Times New Roman" w:hAnsi="Times New Roman" w:cs="Times New Roman"/>
          <w:sz w:val="28"/>
          <w:szCs w:val="28"/>
        </w:rPr>
        <w:t xml:space="preserve">поддержке инициативных проектов;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информацию об инициативных проектах, получивших общественную поддержку, вмест</w:t>
      </w:r>
      <w:r>
        <w:rPr>
          <w:rFonts w:ascii="Times New Roman" w:hAnsi="Times New Roman" w:cs="Times New Roman"/>
          <w:sz w:val="28"/>
          <w:szCs w:val="28"/>
        </w:rPr>
        <w:t xml:space="preserve">е с подтверждающими документами;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данные о внесении инициа</w:t>
      </w:r>
      <w:r>
        <w:rPr>
          <w:rFonts w:ascii="Times New Roman" w:hAnsi="Times New Roman" w:cs="Times New Roman"/>
          <w:sz w:val="28"/>
          <w:szCs w:val="28"/>
        </w:rPr>
        <w:t xml:space="preserve">тивных проектов в администрацию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сведения о доработанных инициативных проектах, которые будут </w:t>
      </w:r>
      <w:r>
        <w:rPr>
          <w:rFonts w:ascii="Times New Roman" w:hAnsi="Times New Roman" w:cs="Times New Roman"/>
          <w:sz w:val="28"/>
          <w:szCs w:val="28"/>
        </w:rPr>
        <w:t xml:space="preserve">участвовать в конкурсном отборе;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результаты конкурсного отбора;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информацию о мероприятиях по приемке инициативных проектов и официальному от</w:t>
      </w:r>
      <w:r>
        <w:rPr>
          <w:rFonts w:ascii="Times New Roman" w:hAnsi="Times New Roman" w:cs="Times New Roman"/>
          <w:sz w:val="28"/>
          <w:szCs w:val="28"/>
        </w:rPr>
        <w:t xml:space="preserve">крытию объектов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42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другие важные сведения.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можно создать QR-код, ведущий на раздел сайта органов местного самоуправления, посвященный инициативному бюджетированию. Это позволит жителям в любой момент ознакомиться с интересующей их информацией.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Привлечение депутатов для оказания содействия в реализации практики инициативного бюджетирования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реализации практики инициативного бюджетирования важно наладить тесное взаимодействие с депутатами местных представительных органов власти. Депутаты, являясь связующим звеном между органами местного самоуправления и </w:t>
      </w:r>
      <w:r>
        <w:rPr>
          <w:rFonts w:ascii="Times New Roman" w:hAnsi="Times New Roman" w:cs="Times New Roman"/>
          <w:sz w:val="28"/>
          <w:szCs w:val="28"/>
        </w:rPr>
        <w:t xml:space="preserve">жителями, могут оказать содействие в информировании граждан о возможностях участия в инициативном бюджетировании, а также в сборе и продвижении наиболее значимых для жителей проектных предложений.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Рекомендуется: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регулярные встречи с депутатами для обсуждения хода реализации практики инициативного бюджетирования, обмена информацией и выработки совместных решений.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Привлекать депутатов к участию в информационных кампаниях, собраниях граждан, приемах заявок на конкурсный отбор проектов.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депутатов необходимыми информационными и методическими материалами для информирования избирателей.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Рассматривать возможность закрепления за депутатами курируемых территорий/населенных пунктов для более эффективного взаимодействия с жителями.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вовлечение депутатов в реализацию практики инициативного бюджетирования способствует повышению информированности граждан, росту числа участников и, как следствие, успешной реализации наиболее значимых для жителей проектов.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919"/>
        <w:ind w:left="106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VII.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Привлечение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добровольцев (волонтеров) для оказания содействия в реализации практики инициативного бюджетирования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добровольцев (волонтёров) для содействия в реализации практики иниц</w:t>
      </w:r>
      <w:r>
        <w:rPr>
          <w:rFonts w:ascii="Times New Roman" w:hAnsi="Times New Roman" w:cs="Times New Roman"/>
          <w:sz w:val="28"/>
          <w:szCs w:val="28"/>
        </w:rPr>
        <w:t xml:space="preserve">иативного бюджетирования игр</w:t>
      </w:r>
      <w:r>
        <w:rPr>
          <w:rFonts w:ascii="Times New Roman" w:hAnsi="Times New Roman" w:cs="Times New Roman"/>
          <w:sz w:val="28"/>
          <w:szCs w:val="28"/>
        </w:rPr>
        <w:t xml:space="preserve">ает важную роль на всех этапах. Добровольцы (волонтёры), будь то инициативные граждане или добровольческие организации, помогают участникам практики, начиная от органов управления и заканчивая обычными гражданами. Добровольцы (волонтеры) выполняют функции: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распространяют информацию о практике инициативного бюджетирования, привлекают граждан и участвуют в организации мероприятий по инициированию проектов (собрания, опросы и т. д.);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предлагают проектные идеи и обсуждают их с гражданами, собирают и организуют инициативные группы;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помогают в инициировании и подготовке инициативных проектов, активно участвуют в работе инициативных групп;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содействуют инициаторам в обсуждении и оформлении инициативных проектов;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участвуют в качестве модераторов в собраниях инициативных групп, где дорабатывают инициативные проекты;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участвуют в организации и проведении голосования;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следят за мониторингом хода реализации проектов.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Добровольцы (волонтёры) привлекаются и обучаются консультантами инициативного бюджетирования из ресу</w:t>
      </w:r>
      <w:r>
        <w:rPr>
          <w:rFonts w:ascii="Times New Roman" w:hAnsi="Times New Roman" w:cs="Times New Roman"/>
          <w:sz w:val="28"/>
          <w:szCs w:val="28"/>
        </w:rPr>
        <w:t xml:space="preserve">рсных центров или ответственными лицами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образования, курирующими инициативное бюджетирование в муниципальном образовании. Особое внимание уделяется привлечению добровольцев (волонтёров) из социально уязвимых групп, особенно людей с ограниченными возможностями здоровья.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VIII. </w:t>
      </w:r>
      <w:r>
        <w:rPr>
          <w:rFonts w:ascii="Times New Roman" w:hAnsi="Times New Roman" w:cs="Times New Roman"/>
          <w:b/>
          <w:sz w:val="28"/>
          <w:szCs w:val="28"/>
        </w:rPr>
        <w:t xml:space="preserve">Публикации в местных печатных СМИ (газеты, журналы)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ind w:left="106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способ позволит охватить аудиторию, которая </w:t>
      </w:r>
      <w:r>
        <w:rPr>
          <w:rFonts w:ascii="Times New Roman" w:hAnsi="Times New Roman" w:cs="Times New Roman"/>
          <w:sz w:val="28"/>
          <w:szCs w:val="28"/>
        </w:rPr>
        <w:t xml:space="preserve">менее активна при пользовании информационно-коммуникационной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, и донести информацию о проектах инициативного бюджетирования до более широкого круга жителей.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Регулярные публикации в местных газетах и журналах: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Статьи, разъясняющие суть инициативного бюджетирования, его цели и преимущества для местных сообществ.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текущих проектах инициативного бюджетирования, их статусе и возможностях для участия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Интервью с организаторами и участниками инициативного бюджетирования, их истории успеха.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часто задаваемые вопросы.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визуальных материалов: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Инфографика</w:t>
      </w:r>
      <w:r>
        <w:rPr>
          <w:rFonts w:ascii="Times New Roman" w:hAnsi="Times New Roman" w:cs="Times New Roman"/>
          <w:sz w:val="28"/>
          <w:szCs w:val="28"/>
        </w:rPr>
        <w:t xml:space="preserve">, схемы, иллюстрации, помогающие наглядно объяснить механизм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Фотографии с мероприятий, связанных с инициативным бюджетированием.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19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Продвижение через местные издания: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специальных вкладок/колонок об инициативном бюджетировании.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анонсов предстоящих мероприятий, конкурсов, приемных дней.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публикаций, их охвата и отклика аудитории.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обратной связи от граждан, участвующих в инициативном бюджетировании.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IX.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Рассылка информационных материалов по электронной почте активным жителям, лидерам общественного мнения, руководителям </w:t>
      </w:r>
      <w:r>
        <w:rPr>
          <w:rFonts w:ascii="Times New Roman" w:hAnsi="Times New Roman" w:cs="Times New Roman"/>
          <w:b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других организаций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</w:rPr>
        <w:t xml:space="preserve"> целью повышения осведомлённости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возможностях участия в проектах инициативного бюджетирования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обеспечить рассылку информационных материалов на электронную почту</w:t>
      </w:r>
      <w:r>
        <w:rPr>
          <w:rFonts w:ascii="Times New Roman" w:hAnsi="Times New Roman" w:cs="Times New Roman"/>
          <w:sz w:val="28"/>
          <w:szCs w:val="28"/>
        </w:rPr>
        <w:t xml:space="preserve"> активных жителей, лидеров общественного мнения,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sz w:val="28"/>
          <w:szCs w:val="28"/>
        </w:rPr>
        <w:t xml:space="preserve"> и других организаций, которые помогут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распространить информацию об инициативном бюджетировании среди своих знакомых, в том числе и подписчиков.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использовании данного метода информирования необходимо: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</w:t>
      </w:r>
      <w:r>
        <w:rPr>
          <w:rFonts w:ascii="Times New Roman" w:hAnsi="Times New Roman" w:cs="Times New Roman"/>
          <w:sz w:val="28"/>
          <w:szCs w:val="28"/>
        </w:rPr>
        <w:t xml:space="preserve">ить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информационный пакет, включающий: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Общую информацию об инициативном бюджетировании, его целях и преимуществах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Подробные инструкции по участию граждан в процессе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успешных проектов, реализованных в рамках 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Контактную информацию для получения дополнительных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</w:t>
      </w:r>
      <w:r>
        <w:rPr>
          <w:rFonts w:ascii="Times New Roman" w:hAnsi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cs="Times New Roman"/>
          <w:sz w:val="28"/>
          <w:szCs w:val="28"/>
        </w:rPr>
        <w:t xml:space="preserve"> целевую аудиторию рассылки: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Активные жители, лидеры общественного мнения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>
        <w:rPr>
          <w:rFonts w:ascii="Times New Roman" w:hAnsi="Times New Roman" w:cs="Times New Roman"/>
          <w:sz w:val="28"/>
          <w:szCs w:val="28"/>
        </w:rPr>
        <w:t xml:space="preserve">ТОСов</w:t>
      </w:r>
      <w:r>
        <w:rPr>
          <w:rFonts w:ascii="Times New Roman" w:hAnsi="Times New Roman" w:cs="Times New Roman"/>
          <w:sz w:val="28"/>
          <w:szCs w:val="28"/>
        </w:rPr>
        <w:t xml:space="preserve"> и других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местных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</w:t>
      </w:r>
      <w:r>
        <w:rPr>
          <w:rFonts w:ascii="Times New Roman" w:hAnsi="Times New Roman" w:cs="Times New Roman"/>
          <w:sz w:val="28"/>
          <w:szCs w:val="28"/>
        </w:rPr>
        <w:t xml:space="preserve">рать</w:t>
      </w:r>
      <w:r>
        <w:rPr>
          <w:rFonts w:ascii="Times New Roman" w:hAnsi="Times New Roman" w:cs="Times New Roman"/>
          <w:sz w:val="28"/>
          <w:szCs w:val="28"/>
        </w:rPr>
        <w:t xml:space="preserve"> актуальные адреса электронной почты целевой аудитории. Можно использовать базы данных муниципального образования, общественных организаций и т.д.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привлекательный дизайн, структуру информационных материалов, легких и удобных для восприятия.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</w:t>
      </w:r>
      <w:r>
        <w:rPr>
          <w:rFonts w:ascii="Times New Roman" w:hAnsi="Times New Roman" w:cs="Times New Roman"/>
          <w:sz w:val="28"/>
          <w:szCs w:val="28"/>
        </w:rPr>
        <w:t xml:space="preserve">овать </w:t>
      </w:r>
      <w:r>
        <w:rPr>
          <w:rFonts w:ascii="Times New Roman" w:hAnsi="Times New Roman" w:cs="Times New Roman"/>
          <w:sz w:val="28"/>
          <w:szCs w:val="28"/>
        </w:rPr>
        <w:t xml:space="preserve">рассылку и отправ</w:t>
      </w:r>
      <w:r>
        <w:rPr>
          <w:rFonts w:ascii="Times New Roman" w:hAnsi="Times New Roman" w:cs="Times New Roman"/>
          <w:sz w:val="28"/>
          <w:szCs w:val="28"/>
        </w:rPr>
        <w:t xml:space="preserve">ить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информационный пакет адресатам. Осуществить контроль получения направленных информационных писем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29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Отслежива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реакцию и обратную связь. При необходимости актуализир</w:t>
      </w:r>
      <w:r>
        <w:rPr>
          <w:rFonts w:ascii="Times New Roman" w:hAnsi="Times New Roman" w:cs="Times New Roman"/>
          <w:sz w:val="28"/>
          <w:szCs w:val="28"/>
        </w:rPr>
        <w:t xml:space="preserve">овать</w:t>
      </w:r>
      <w:r>
        <w:rPr>
          <w:rFonts w:ascii="Times New Roman" w:hAnsi="Times New Roman" w:cs="Times New Roman"/>
          <w:sz w:val="28"/>
          <w:szCs w:val="28"/>
        </w:rPr>
        <w:t xml:space="preserve"> и дополня</w:t>
      </w:r>
      <w:r>
        <w:rPr>
          <w:rFonts w:ascii="Times New Roman" w:hAnsi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рассылки</w:t>
      </w:r>
      <w:r>
        <w:rPr>
          <w:rFonts w:ascii="Times New Roman" w:hAnsi="Times New Roman" w:cs="Times New Roman"/>
          <w:sz w:val="28"/>
          <w:szCs w:val="28"/>
        </w:rPr>
        <w:t xml:space="preserve"> помо</w:t>
      </w:r>
      <w:r>
        <w:rPr>
          <w:rFonts w:ascii="Times New Roman" w:hAnsi="Times New Roman" w:cs="Times New Roman"/>
          <w:sz w:val="28"/>
          <w:szCs w:val="28"/>
        </w:rPr>
        <w:t xml:space="preserve">гает</w:t>
      </w:r>
      <w:r>
        <w:rPr>
          <w:rFonts w:ascii="Times New Roman" w:hAnsi="Times New Roman" w:cs="Times New Roman"/>
          <w:sz w:val="28"/>
          <w:szCs w:val="28"/>
        </w:rPr>
        <w:t xml:space="preserve"> эффективно информировать целевую аудиторию и вовлечь граждан в процесс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X.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Размещение информации в мессенджерах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информации об инициативном бюджетировании в мессенджерах позволяет охватить широкую аудиторию граждан, обеспечить оперативность и интерактивность коммуникации, а также повысить вовлеченность жителей в процесс.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данного метода информирования необходимо придерживаться следующих этапов: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Определение целевой аудитории: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Выявление основных групп жителей, которые могут быть заинтересованы в участии в инициативном бюджетировании (например, активные граждане, представители местных сообществ, родители, пенсионеры и т.д.).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предпочитаемых мессенджеров и каналов коммуникации для каждой целевой группы.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информационных материалов: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кратких </w:t>
      </w:r>
      <w:r>
        <w:rPr>
          <w:rFonts w:ascii="Times New Roman" w:hAnsi="Times New Roman" w:cs="Times New Roman"/>
          <w:sz w:val="28"/>
          <w:szCs w:val="28"/>
        </w:rPr>
        <w:t xml:space="preserve">и наглядных сообщений, раскрывающих суть инициативного бюджетирования, его преимущества, порядок участия.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визуальных элементов (</w:t>
      </w:r>
      <w:r>
        <w:rPr>
          <w:rFonts w:ascii="Times New Roman" w:hAnsi="Times New Roman" w:cs="Times New Roman"/>
          <w:sz w:val="28"/>
          <w:szCs w:val="28"/>
        </w:rPr>
        <w:t xml:space="preserve">инфографика</w:t>
      </w:r>
      <w:r>
        <w:rPr>
          <w:rFonts w:ascii="Times New Roman" w:hAnsi="Times New Roman" w:cs="Times New Roman"/>
          <w:sz w:val="28"/>
          <w:szCs w:val="28"/>
        </w:rPr>
        <w:t xml:space="preserve">, видеоролики, баннеры) для повышения привлекательности и запоминаемости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каналов распространения информации в мессенджерах: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наиболее популярных мессенджеров среди целевой аудитории (</w:t>
      </w:r>
      <w:r>
        <w:rPr>
          <w:rFonts w:ascii="Times New Roman" w:hAnsi="Times New Roman" w:cs="Times New Roman"/>
          <w:sz w:val="28"/>
          <w:szCs w:val="28"/>
        </w:rPr>
        <w:t xml:space="preserve">Telegram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Viber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тематических групп, чатов или каналов в выбранных мессенд</w:t>
      </w:r>
      <w:r>
        <w:rPr>
          <w:rFonts w:ascii="Times New Roman" w:hAnsi="Times New Roman" w:cs="Times New Roman"/>
          <w:sz w:val="28"/>
          <w:szCs w:val="28"/>
        </w:rPr>
        <w:t xml:space="preserve">жерах для размещения информации или использование уже действующих.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активных участников местных сообществ, лидеров мнений для распространения информации в их личных и групповых чатах.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Регулярное информирование и обратная связь: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новостей, анонсов, напоминаний о ключевых этапах инициативного бюджетирования.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опросов, голосований, обсуждений в мессенджерах для сбора обратной связи от жителей.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Оперативное реагирование на вопросы и комментарии, поступающие в мессенджерах.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9"/>
        <w:numPr>
          <w:ilvl w:val="0"/>
          <w:numId w:val="34"/>
        </w:num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и анализ эффективности: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Отслеживание охвата и активности аудитории в мессенджерах.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уровня вовлеченности жителей в обсуждение и участие в инициативном бюджетировании.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информационной стратегии и контента на основе полученных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обеспечить комплексный подход, сочетая информирование в мессенджерах с другими каналами (СМИ, социальные сети, информационные стенды и т.д.) для максимального охвата целевой аудитории.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276" w:bottom="1134" w:left="1559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</w:pPr>
    <w:fldSimple w:instr="PAGE \* MERGEFORMAT">
      <w:r>
        <w:t xml:space="preserve">1</w:t>
      </w:r>
    </w:fldSimple>
    <w:r/>
    <w:r/>
  </w:p>
  <w:p>
    <w:pPr>
      <w:pStyle w:val="765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1069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9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3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29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5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778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9"/>
  </w:num>
  <w:num w:numId="5">
    <w:abstractNumId w:val="20"/>
  </w:num>
  <w:num w:numId="6">
    <w:abstractNumId w:val="14"/>
  </w:num>
  <w:num w:numId="7">
    <w:abstractNumId w:val="33"/>
  </w:num>
  <w:num w:numId="8">
    <w:abstractNumId w:val="2"/>
  </w:num>
  <w:num w:numId="9">
    <w:abstractNumId w:val="32"/>
  </w:num>
  <w:num w:numId="10">
    <w:abstractNumId w:val="13"/>
  </w:num>
  <w:num w:numId="11">
    <w:abstractNumId w:val="17"/>
  </w:num>
  <w:num w:numId="12">
    <w:abstractNumId w:val="3"/>
  </w:num>
  <w:num w:numId="13">
    <w:abstractNumId w:val="19"/>
  </w:num>
  <w:num w:numId="14">
    <w:abstractNumId w:val="27"/>
  </w:num>
  <w:num w:numId="15">
    <w:abstractNumId w:val="8"/>
  </w:num>
  <w:num w:numId="16">
    <w:abstractNumId w:val="5"/>
  </w:num>
  <w:num w:numId="17">
    <w:abstractNumId w:val="29"/>
  </w:num>
  <w:num w:numId="18">
    <w:abstractNumId w:val="28"/>
  </w:num>
  <w:num w:numId="19">
    <w:abstractNumId w:val="0"/>
  </w:num>
  <w:num w:numId="20">
    <w:abstractNumId w:val="31"/>
  </w:num>
  <w:num w:numId="21">
    <w:abstractNumId w:val="30"/>
  </w:num>
  <w:num w:numId="22">
    <w:abstractNumId w:val="16"/>
  </w:num>
  <w:num w:numId="23">
    <w:abstractNumId w:val="6"/>
  </w:num>
  <w:num w:numId="24">
    <w:abstractNumId w:val="7"/>
  </w:num>
  <w:num w:numId="25">
    <w:abstractNumId w:val="12"/>
  </w:num>
  <w:num w:numId="26">
    <w:abstractNumId w:val="26"/>
  </w:num>
  <w:num w:numId="27">
    <w:abstractNumId w:val="24"/>
  </w:num>
  <w:num w:numId="28">
    <w:abstractNumId w:val="22"/>
  </w:num>
  <w:num w:numId="29">
    <w:abstractNumId w:val="4"/>
  </w:num>
  <w:num w:numId="30">
    <w:abstractNumId w:val="1"/>
  </w:num>
  <w:num w:numId="31">
    <w:abstractNumId w:val="18"/>
  </w:num>
  <w:num w:numId="32">
    <w:abstractNumId w:val="21"/>
  </w:num>
  <w:num w:numId="33">
    <w:abstractNumId w:val="23"/>
  </w:num>
  <w:num w:numId="34">
    <w:abstractNumId w:val="25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5"/>
    <w:next w:val="915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6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5"/>
    <w:next w:val="915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6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5"/>
    <w:next w:val="915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6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5"/>
    <w:next w:val="915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6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5"/>
    <w:next w:val="915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6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5"/>
    <w:next w:val="915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6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5"/>
    <w:next w:val="915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6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5"/>
    <w:next w:val="915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6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5"/>
    <w:next w:val="915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6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6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6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basedOn w:val="916"/>
    <w:link w:val="765"/>
    <w:uiPriority w:val="99"/>
  </w:style>
  <w:style w:type="paragraph" w:styleId="767">
    <w:name w:val="Footer"/>
    <w:basedOn w:val="915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basedOn w:val="916"/>
    <w:link w:val="767"/>
    <w:uiPriority w:val="99"/>
  </w:style>
  <w:style w:type="paragraph" w:styleId="769">
    <w:name w:val="Caption"/>
    <w:basedOn w:val="915"/>
    <w:next w:val="9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767"/>
    <w:uiPriority w:val="99"/>
  </w:style>
  <w:style w:type="table" w:styleId="771">
    <w:name w:val="Table Grid"/>
    <w:basedOn w:val="9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1">
    <w:name w:val="List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2">
    <w:name w:val="List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3">
    <w:name w:val="List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4">
    <w:name w:val="List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5">
    <w:name w:val="List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6">
    <w:name w:val="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8">
    <w:name w:val="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2">
    <w:name w:val="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 &amp; 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5">
    <w:name w:val="Bordered &amp; 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6">
    <w:name w:val="Bordered &amp; 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7">
    <w:name w:val="Bordered &amp; 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8">
    <w:name w:val="Bordered &amp; 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9">
    <w:name w:val="Bordered &amp; 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0">
    <w:name w:val="Bordered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basedOn w:val="916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basedOn w:val="916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qFormat/>
  </w:style>
  <w:style w:type="character" w:styleId="916" w:default="1">
    <w:name w:val="Default Paragraph Font"/>
    <w:uiPriority w:val="1"/>
    <w:unhideWhenUsed/>
  </w:style>
  <w:style w:type="table" w:styleId="9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8" w:default="1">
    <w:name w:val="No List"/>
    <w:uiPriority w:val="99"/>
    <w:semiHidden/>
    <w:unhideWhenUsed/>
  </w:style>
  <w:style w:type="paragraph" w:styleId="919">
    <w:name w:val="List Paragraph"/>
    <w:basedOn w:val="91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galimov@ugranko.ru</dc:creator>
  <cp:keywords/>
  <dc:description/>
  <cp:revision>12</cp:revision>
  <dcterms:created xsi:type="dcterms:W3CDTF">2024-08-26T09:59:00Z</dcterms:created>
  <dcterms:modified xsi:type="dcterms:W3CDTF">2024-09-25T11:54:28Z</dcterms:modified>
</cp:coreProperties>
</file>